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325"/>
        <w:gridCol w:w="2340"/>
        <w:gridCol w:w="4225"/>
      </w:tblGrid>
      <w:tr w:rsidR="00C83030" w:rsidRPr="007D7E52" w14:paraId="24BF0DBC" w14:textId="77777777" w:rsidTr="00980434">
        <w:tc>
          <w:tcPr>
            <w:tcW w:w="4325" w:type="dxa"/>
          </w:tcPr>
          <w:p w14:paraId="49F0E597" w14:textId="25AA0541" w:rsidR="00C83030" w:rsidRPr="007D7E52" w:rsidRDefault="00C83030" w:rsidP="00980434">
            <w:pPr>
              <w:rPr>
                <w:i/>
                <w:iCs/>
                <w:smallCaps/>
                <w:spacing w:val="20"/>
                <w:sz w:val="18"/>
                <w:szCs w:val="18"/>
              </w:rPr>
            </w:pPr>
            <w:r>
              <w:rPr>
                <w:b/>
                <w:bCs/>
                <w:smallCaps/>
                <w:spacing w:val="20"/>
                <w:sz w:val="24"/>
                <w:szCs w:val="24"/>
              </w:rPr>
              <w:br/>
            </w:r>
            <w:r>
              <w:rPr>
                <w:b/>
                <w:bCs/>
                <w:smallCaps/>
                <w:spacing w:val="20"/>
                <w:sz w:val="24"/>
                <w:szCs w:val="24"/>
              </w:rPr>
              <w:br/>
            </w:r>
            <w:r w:rsidRPr="00E92DF6">
              <w:rPr>
                <w:b/>
                <w:bCs/>
                <w:smallCaps/>
                <w:spacing w:val="20"/>
                <w:sz w:val="24"/>
                <w:szCs w:val="24"/>
              </w:rPr>
              <w:t>Gainesville Residents United, Inc</w:t>
            </w:r>
            <w:r w:rsidRPr="00E92DF6">
              <w:rPr>
                <w:smallCaps/>
                <w:spacing w:val="20"/>
                <w:sz w:val="24"/>
                <w:szCs w:val="24"/>
              </w:rPr>
              <w:t>.</w:t>
            </w:r>
            <w:r w:rsidRPr="0029385B">
              <w:rPr>
                <w:smallCaps/>
                <w:spacing w:val="20"/>
              </w:rPr>
              <w:br/>
              <w:t>2619 SE 30</w:t>
            </w:r>
            <w:r w:rsidRPr="0029385B">
              <w:rPr>
                <w:smallCaps/>
                <w:spacing w:val="20"/>
                <w:vertAlign w:val="superscript"/>
              </w:rPr>
              <w:t>th</w:t>
            </w:r>
            <w:r w:rsidRPr="0029385B">
              <w:rPr>
                <w:smallCaps/>
                <w:spacing w:val="20"/>
              </w:rPr>
              <w:t xml:space="preserve"> Place</w:t>
            </w:r>
            <w:r w:rsidRPr="0029385B">
              <w:rPr>
                <w:smallCaps/>
                <w:spacing w:val="20"/>
              </w:rPr>
              <w:br/>
              <w:t>Gainesville, FL   32641</w:t>
            </w:r>
            <w:r>
              <w:rPr>
                <w:i/>
                <w:iCs/>
                <w:smallCaps/>
                <w:spacing w:val="20"/>
                <w:sz w:val="18"/>
                <w:szCs w:val="18"/>
              </w:rPr>
              <w:br/>
            </w:r>
            <w:r w:rsidRPr="00D61DBD">
              <w:rPr>
                <w:i/>
                <w:iCs/>
                <w:smallCaps/>
                <w:spacing w:val="20"/>
                <w:sz w:val="10"/>
                <w:szCs w:val="10"/>
              </w:rPr>
              <w:br/>
            </w:r>
            <w:r>
              <w:rPr>
                <w:b/>
                <w:bCs/>
                <w:i/>
                <w:iCs/>
                <w:smallCaps/>
                <w:color w:val="FF0000"/>
                <w:spacing w:val="20"/>
                <w:sz w:val="30"/>
                <w:szCs w:val="30"/>
              </w:rPr>
              <w:br/>
            </w:r>
            <w:r>
              <w:rPr>
                <w:i/>
                <w:iCs/>
                <w:smallCaps/>
                <w:spacing w:val="20"/>
                <w:sz w:val="18"/>
                <w:szCs w:val="18"/>
              </w:rPr>
              <w:br/>
            </w:r>
          </w:p>
        </w:tc>
        <w:tc>
          <w:tcPr>
            <w:tcW w:w="2340" w:type="dxa"/>
          </w:tcPr>
          <w:p w14:paraId="39A4B955" w14:textId="77777777" w:rsidR="00C83030" w:rsidRDefault="00C83030" w:rsidP="00980434">
            <w:pPr>
              <w:rPr>
                <w:b/>
                <w:bCs/>
                <w:smallCaps/>
                <w:spacing w:val="20"/>
                <w:sz w:val="40"/>
                <w:szCs w:val="40"/>
              </w:rPr>
            </w:pPr>
            <w:r>
              <w:rPr>
                <w:b/>
                <w:bCs/>
                <w:smallCaps/>
                <w:noProof/>
                <w:spacing w:val="20"/>
                <w:sz w:val="40"/>
                <w:szCs w:val="40"/>
              </w:rPr>
              <w:drawing>
                <wp:inline distT="0" distB="0" distL="0" distR="0" wp14:anchorId="507EAB0E" wp14:editId="2675160C">
                  <wp:extent cx="1318260" cy="1285304"/>
                  <wp:effectExtent l="0" t="0" r="0" b="0"/>
                  <wp:docPr id="1227222003" name="Picture 1" descr="A colorful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222003" name="Picture 1" descr="A colorful logo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167" cy="1297889"/>
                          </a:xfrm>
                          <a:prstGeom prst="rect">
                            <a:avLst/>
                          </a:prstGeom>
                        </pic:spPr>
                      </pic:pic>
                    </a:graphicData>
                  </a:graphic>
                </wp:inline>
              </w:drawing>
            </w:r>
          </w:p>
        </w:tc>
        <w:tc>
          <w:tcPr>
            <w:tcW w:w="4225" w:type="dxa"/>
          </w:tcPr>
          <w:p w14:paraId="7F66C5CC" w14:textId="77777777" w:rsidR="00C83030" w:rsidRPr="007D7E52" w:rsidRDefault="00C83030" w:rsidP="00980434">
            <w:pPr>
              <w:rPr>
                <w:rFonts w:ascii="Amienne" w:hAnsi="Amienne"/>
                <w:b/>
                <w:bCs/>
                <w:spacing w:val="30"/>
                <w:sz w:val="32"/>
                <w:szCs w:val="32"/>
              </w:rPr>
            </w:pPr>
            <w:r w:rsidRPr="007D7E52">
              <w:rPr>
                <w:rFonts w:ascii="Amienne" w:hAnsi="Amienne"/>
                <w:b/>
                <w:bCs/>
                <w:color w:val="7030A0"/>
                <w:spacing w:val="30"/>
                <w:sz w:val="32"/>
                <w:szCs w:val="32"/>
              </w:rPr>
              <w:t xml:space="preserve"> </w:t>
            </w:r>
            <w:r>
              <w:rPr>
                <w:rFonts w:ascii="Amienne" w:hAnsi="Amienne"/>
                <w:b/>
                <w:bCs/>
                <w:color w:val="7030A0"/>
                <w:spacing w:val="30"/>
                <w:sz w:val="32"/>
                <w:szCs w:val="32"/>
              </w:rPr>
              <w:br/>
            </w:r>
            <w:r>
              <w:rPr>
                <w:rFonts w:ascii="Amienne" w:hAnsi="Amienne"/>
                <w:b/>
                <w:bCs/>
                <w:color w:val="7030A0"/>
                <w:spacing w:val="30"/>
                <w:sz w:val="32"/>
                <w:szCs w:val="32"/>
              </w:rPr>
              <w:br/>
            </w:r>
            <w:r w:rsidRPr="007D7E52">
              <w:rPr>
                <w:rFonts w:ascii="Amienne" w:hAnsi="Amienne"/>
                <w:b/>
                <w:bCs/>
                <w:color w:val="7030A0"/>
                <w:spacing w:val="30"/>
                <w:sz w:val="32"/>
                <w:szCs w:val="32"/>
              </w:rPr>
              <w:t xml:space="preserve">. . . </w:t>
            </w:r>
            <w:r>
              <w:rPr>
                <w:rFonts w:ascii="Amienne" w:hAnsi="Amienne"/>
                <w:b/>
                <w:bCs/>
                <w:color w:val="7030A0"/>
                <w:spacing w:val="30"/>
                <w:sz w:val="32"/>
                <w:szCs w:val="32"/>
              </w:rPr>
              <w:t xml:space="preserve">to </w:t>
            </w:r>
            <w:r w:rsidRPr="007D7E52">
              <w:rPr>
                <w:rFonts w:ascii="Amienne" w:hAnsi="Amienne"/>
                <w:b/>
                <w:bCs/>
                <w:color w:val="7030A0"/>
                <w:spacing w:val="30"/>
                <w:sz w:val="32"/>
                <w:szCs w:val="32"/>
              </w:rPr>
              <w:t>educate, advocate, negotiate,</w:t>
            </w:r>
            <w:r>
              <w:rPr>
                <w:rFonts w:ascii="Amienne" w:hAnsi="Amienne"/>
                <w:b/>
                <w:bCs/>
                <w:color w:val="7030A0"/>
                <w:spacing w:val="30"/>
                <w:sz w:val="32"/>
                <w:szCs w:val="32"/>
              </w:rPr>
              <w:br/>
              <w:t xml:space="preserve">    </w:t>
            </w:r>
            <w:r w:rsidRPr="007D7E52">
              <w:rPr>
                <w:rFonts w:ascii="Amienne" w:hAnsi="Amienne"/>
                <w:b/>
                <w:bCs/>
                <w:color w:val="7030A0"/>
                <w:spacing w:val="30"/>
                <w:sz w:val="32"/>
                <w:szCs w:val="32"/>
              </w:rPr>
              <w:t xml:space="preserve"> and litigate important issues </w:t>
            </w:r>
            <w:r>
              <w:rPr>
                <w:rFonts w:ascii="Amienne" w:hAnsi="Amienne"/>
                <w:b/>
                <w:bCs/>
                <w:color w:val="7030A0"/>
                <w:spacing w:val="30"/>
                <w:sz w:val="32"/>
                <w:szCs w:val="32"/>
              </w:rPr>
              <w:br/>
              <w:t xml:space="preserve">     </w:t>
            </w:r>
            <w:r w:rsidRPr="007D7E52">
              <w:rPr>
                <w:rFonts w:ascii="Amienne" w:hAnsi="Amienne"/>
                <w:b/>
                <w:bCs/>
                <w:color w:val="7030A0"/>
                <w:spacing w:val="30"/>
                <w:sz w:val="32"/>
                <w:szCs w:val="32"/>
              </w:rPr>
              <w:t>for our community</w:t>
            </w:r>
          </w:p>
        </w:tc>
      </w:tr>
    </w:tbl>
    <w:p w14:paraId="075DF7D8" w14:textId="77777777" w:rsidR="00C83030" w:rsidRDefault="00C83030" w:rsidP="00AB0381">
      <w:pPr>
        <w:rPr>
          <w:rFonts w:ascii="Times New Roman" w:hAnsi="Times New Roman" w:cs="Times New Roman"/>
          <w:b/>
          <w:bCs/>
          <w:sz w:val="32"/>
          <w:szCs w:val="32"/>
        </w:rPr>
      </w:pPr>
    </w:p>
    <w:p w14:paraId="7A3BA50D" w14:textId="547E2BAA" w:rsidR="00AB0381" w:rsidRPr="00E30FFE" w:rsidRDefault="00C83030" w:rsidP="00AB0381">
      <w:pPr>
        <w:rPr>
          <w:rFonts w:ascii="Times New Roman" w:hAnsi="Times New Roman" w:cs="Times New Roman"/>
          <w:sz w:val="24"/>
          <w:szCs w:val="24"/>
        </w:rPr>
      </w:pPr>
      <w:r w:rsidRPr="00C83030">
        <w:rPr>
          <w:rFonts w:ascii="Times New Roman" w:hAnsi="Times New Roman" w:cs="Times New Roman"/>
          <w:b/>
          <w:bCs/>
          <w:sz w:val="32"/>
          <w:szCs w:val="32"/>
        </w:rPr>
        <w:t xml:space="preserve">                               </w:t>
      </w:r>
      <w:r>
        <w:rPr>
          <w:rFonts w:ascii="Times New Roman" w:hAnsi="Times New Roman" w:cs="Times New Roman"/>
          <w:b/>
          <w:bCs/>
          <w:sz w:val="32"/>
          <w:szCs w:val="32"/>
        </w:rPr>
        <w:t>L</w:t>
      </w:r>
      <w:r w:rsidR="00E30FFE" w:rsidRPr="00C83030">
        <w:rPr>
          <w:rFonts w:ascii="Times New Roman" w:hAnsi="Times New Roman" w:cs="Times New Roman"/>
          <w:b/>
          <w:bCs/>
          <w:sz w:val="32"/>
          <w:szCs w:val="32"/>
        </w:rPr>
        <w:t xml:space="preserve">itigation Update - </w:t>
      </w:r>
      <w:r w:rsidR="00AB0381" w:rsidRPr="00C83030">
        <w:rPr>
          <w:rFonts w:ascii="Times New Roman" w:hAnsi="Times New Roman" w:cs="Times New Roman"/>
          <w:b/>
          <w:bCs/>
          <w:sz w:val="32"/>
          <w:szCs w:val="32"/>
        </w:rPr>
        <w:t>A Gathering Storm</w:t>
      </w:r>
      <w:r>
        <w:rPr>
          <w:rFonts w:ascii="Times New Roman" w:hAnsi="Times New Roman" w:cs="Times New Roman"/>
          <w:b/>
          <w:bCs/>
          <w:sz w:val="32"/>
          <w:szCs w:val="32"/>
        </w:rPr>
        <w:br/>
      </w:r>
      <w:r w:rsidR="00E30FFE" w:rsidRPr="00C83030">
        <w:rPr>
          <w:rFonts w:ascii="Times New Roman" w:hAnsi="Times New Roman" w:cs="Times New Roman"/>
          <w:sz w:val="8"/>
          <w:szCs w:val="8"/>
        </w:rPr>
        <w:br/>
      </w:r>
      <w:r>
        <w:rPr>
          <w:rFonts w:ascii="Times New Roman" w:hAnsi="Times New Roman" w:cs="Times New Roman"/>
          <w:sz w:val="24"/>
          <w:szCs w:val="24"/>
        </w:rPr>
        <w:t xml:space="preserve">                                                                        </w:t>
      </w:r>
      <w:r w:rsidR="00E30FFE" w:rsidRPr="00E30FFE">
        <w:rPr>
          <w:rFonts w:ascii="Times New Roman" w:hAnsi="Times New Roman" w:cs="Times New Roman"/>
          <w:sz w:val="24"/>
          <w:szCs w:val="24"/>
        </w:rPr>
        <w:t>January 17, 2024</w:t>
      </w:r>
    </w:p>
    <w:p w14:paraId="61E6582F" w14:textId="3CA9A0FB" w:rsidR="00AB0381" w:rsidRDefault="00F5368C" w:rsidP="00AB0381">
      <w:pPr>
        <w:rPr>
          <w:rFonts w:ascii="Times New Roman" w:hAnsi="Times New Roman" w:cs="Times New Roman"/>
          <w:sz w:val="24"/>
          <w:szCs w:val="24"/>
        </w:rPr>
      </w:pPr>
      <w:r>
        <w:rPr>
          <w:rFonts w:ascii="Times New Roman" w:hAnsi="Times New Roman" w:cs="Times New Roman"/>
          <w:sz w:val="24"/>
          <w:szCs w:val="24"/>
        </w:rPr>
        <w:br/>
      </w:r>
      <w:r w:rsidR="00AB0381" w:rsidRPr="00E30FFE">
        <w:rPr>
          <w:rFonts w:ascii="Times New Roman" w:hAnsi="Times New Roman" w:cs="Times New Roman"/>
          <w:sz w:val="24"/>
          <w:szCs w:val="24"/>
        </w:rPr>
        <w:t xml:space="preserve">This Gainesville Residents United </w:t>
      </w:r>
      <w:r w:rsidR="008607AF">
        <w:rPr>
          <w:rFonts w:ascii="Times New Roman" w:hAnsi="Times New Roman" w:cs="Times New Roman"/>
          <w:sz w:val="24"/>
          <w:szCs w:val="24"/>
        </w:rPr>
        <w:t xml:space="preserve">update </w:t>
      </w:r>
      <w:r w:rsidR="00AB0381" w:rsidRPr="00E30FFE">
        <w:rPr>
          <w:rFonts w:ascii="Times New Roman" w:hAnsi="Times New Roman" w:cs="Times New Roman"/>
          <w:sz w:val="24"/>
          <w:szCs w:val="24"/>
        </w:rPr>
        <w:t>summarize</w:t>
      </w:r>
      <w:r w:rsidR="00DF0A09" w:rsidRPr="00E30FFE">
        <w:rPr>
          <w:rFonts w:ascii="Times New Roman" w:hAnsi="Times New Roman" w:cs="Times New Roman"/>
          <w:sz w:val="24"/>
          <w:szCs w:val="24"/>
        </w:rPr>
        <w:t>s</w:t>
      </w:r>
      <w:r w:rsidR="00AB0381" w:rsidRPr="00E30FFE">
        <w:rPr>
          <w:rFonts w:ascii="Times New Roman" w:hAnsi="Times New Roman" w:cs="Times New Roman"/>
          <w:sz w:val="24"/>
          <w:szCs w:val="24"/>
        </w:rPr>
        <w:t xml:space="preserve"> </w:t>
      </w:r>
      <w:r w:rsidR="00DF0A09" w:rsidRPr="00E30FFE">
        <w:rPr>
          <w:rFonts w:ascii="Times New Roman" w:hAnsi="Times New Roman" w:cs="Times New Roman"/>
          <w:sz w:val="24"/>
          <w:szCs w:val="24"/>
        </w:rPr>
        <w:t xml:space="preserve">the </w:t>
      </w:r>
      <w:r w:rsidR="00AB0381" w:rsidRPr="00E30FFE">
        <w:rPr>
          <w:rFonts w:ascii="Times New Roman" w:hAnsi="Times New Roman" w:cs="Times New Roman"/>
          <w:sz w:val="24"/>
          <w:szCs w:val="24"/>
        </w:rPr>
        <w:t>broader implications and ongoing legal confrontations arising from House Bill 1645 (2023)</w:t>
      </w:r>
      <w:r w:rsidR="008607AF">
        <w:rPr>
          <w:rFonts w:ascii="Times New Roman" w:hAnsi="Times New Roman" w:cs="Times New Roman"/>
          <w:sz w:val="24"/>
          <w:szCs w:val="24"/>
        </w:rPr>
        <w:t xml:space="preserve">. </w:t>
      </w:r>
      <w:r w:rsidR="00AB0381" w:rsidRPr="00E30FFE">
        <w:rPr>
          <w:rFonts w:ascii="Times New Roman" w:hAnsi="Times New Roman" w:cs="Times New Roman"/>
          <w:sz w:val="24"/>
          <w:szCs w:val="24"/>
        </w:rPr>
        <w:t>Gainesville Regional Utilities (GRU)</w:t>
      </w:r>
      <w:r w:rsidR="008607AF">
        <w:rPr>
          <w:rFonts w:ascii="Times New Roman" w:hAnsi="Times New Roman" w:cs="Times New Roman"/>
          <w:sz w:val="24"/>
          <w:szCs w:val="24"/>
        </w:rPr>
        <w:t xml:space="preserve"> stakeholders</w:t>
      </w:r>
      <w:r w:rsidR="00AB0381" w:rsidRPr="00E30FFE">
        <w:rPr>
          <w:rFonts w:ascii="Times New Roman" w:hAnsi="Times New Roman" w:cs="Times New Roman"/>
          <w:sz w:val="24"/>
          <w:szCs w:val="24"/>
        </w:rPr>
        <w:t xml:space="preserve">, including its customers, </w:t>
      </w:r>
      <w:r w:rsidR="00E659D3">
        <w:rPr>
          <w:rFonts w:ascii="Times New Roman" w:hAnsi="Times New Roman" w:cs="Times New Roman"/>
          <w:sz w:val="24"/>
          <w:szCs w:val="24"/>
        </w:rPr>
        <w:t xml:space="preserve">employees, </w:t>
      </w:r>
      <w:r w:rsidR="00AB0381" w:rsidRPr="00E30FFE">
        <w:rPr>
          <w:rFonts w:ascii="Times New Roman" w:hAnsi="Times New Roman" w:cs="Times New Roman"/>
          <w:sz w:val="24"/>
          <w:szCs w:val="24"/>
        </w:rPr>
        <w:t xml:space="preserve">financiers, and policymakers find themselves in an increasingly precarious situation due to the bill's </w:t>
      </w:r>
      <w:r w:rsidR="00DF0A09" w:rsidRPr="00E30FFE">
        <w:rPr>
          <w:rFonts w:ascii="Times New Roman" w:hAnsi="Times New Roman" w:cs="Times New Roman"/>
          <w:sz w:val="24"/>
          <w:szCs w:val="24"/>
        </w:rPr>
        <w:t>manifest flaws</w:t>
      </w:r>
      <w:r w:rsidR="00AB0381" w:rsidRPr="00E30FFE">
        <w:rPr>
          <w:rFonts w:ascii="Times New Roman" w:hAnsi="Times New Roman" w:cs="Times New Roman"/>
          <w:sz w:val="24"/>
          <w:szCs w:val="24"/>
        </w:rPr>
        <w:t>.</w:t>
      </w:r>
      <w:r w:rsidR="00C83030">
        <w:rPr>
          <w:rFonts w:ascii="Times New Roman" w:hAnsi="Times New Roman" w:cs="Times New Roman"/>
          <w:sz w:val="24"/>
          <w:szCs w:val="24"/>
        </w:rPr>
        <w:br/>
      </w:r>
      <w:r w:rsidR="00C83030">
        <w:rPr>
          <w:rFonts w:ascii="Times New Roman" w:hAnsi="Times New Roman" w:cs="Times New Roman"/>
          <w:sz w:val="24"/>
          <w:szCs w:val="24"/>
        </w:rPr>
        <w:br/>
      </w:r>
      <w:r w:rsidR="00AB0381" w:rsidRPr="00E30FFE">
        <w:rPr>
          <w:rFonts w:ascii="Times New Roman" w:hAnsi="Times New Roman" w:cs="Times New Roman"/>
          <w:b/>
          <w:bCs/>
          <w:sz w:val="24"/>
          <w:szCs w:val="24"/>
        </w:rPr>
        <w:t>Judicial Responses to Litigation:</w:t>
      </w:r>
      <w:r w:rsidR="00AB0381" w:rsidRPr="00E30FFE">
        <w:rPr>
          <w:rFonts w:ascii="Times New Roman" w:hAnsi="Times New Roman" w:cs="Times New Roman"/>
          <w:sz w:val="24"/>
          <w:szCs w:val="24"/>
        </w:rPr>
        <w:t xml:space="preserve"> </w:t>
      </w:r>
      <w:r w:rsidR="000B497F">
        <w:rPr>
          <w:rFonts w:ascii="Times New Roman" w:hAnsi="Times New Roman" w:cs="Times New Roman"/>
          <w:sz w:val="24"/>
          <w:szCs w:val="24"/>
        </w:rPr>
        <w:t xml:space="preserve"> </w:t>
      </w:r>
      <w:r w:rsidR="00D62881">
        <w:rPr>
          <w:rFonts w:ascii="Times New Roman" w:hAnsi="Times New Roman" w:cs="Times New Roman"/>
          <w:sz w:val="24"/>
          <w:szCs w:val="24"/>
        </w:rPr>
        <w:t>C</w:t>
      </w:r>
      <w:r w:rsidR="00AB0381" w:rsidRPr="00E30FFE">
        <w:rPr>
          <w:rFonts w:ascii="Times New Roman" w:hAnsi="Times New Roman" w:cs="Times New Roman"/>
          <w:sz w:val="24"/>
          <w:szCs w:val="24"/>
        </w:rPr>
        <w:t>hallengers</w:t>
      </w:r>
      <w:r w:rsidR="000B497F">
        <w:rPr>
          <w:rFonts w:ascii="Times New Roman" w:hAnsi="Times New Roman" w:cs="Times New Roman"/>
          <w:sz w:val="24"/>
          <w:szCs w:val="24"/>
        </w:rPr>
        <w:t xml:space="preserve"> of HB 1645</w:t>
      </w:r>
      <w:r w:rsidR="00D62881">
        <w:rPr>
          <w:rFonts w:ascii="Times New Roman" w:hAnsi="Times New Roman" w:cs="Times New Roman"/>
          <w:sz w:val="24"/>
          <w:szCs w:val="24"/>
        </w:rPr>
        <w:t>, including Gainesville Residents United, Inc.,</w:t>
      </w:r>
      <w:r w:rsidR="00AB0381" w:rsidRPr="00E30FFE">
        <w:rPr>
          <w:rFonts w:ascii="Times New Roman" w:hAnsi="Times New Roman" w:cs="Times New Roman"/>
          <w:sz w:val="24"/>
          <w:szCs w:val="24"/>
        </w:rPr>
        <w:t xml:space="preserve"> have faced significant setbacks. Th</w:t>
      </w:r>
      <w:r w:rsidR="00D62881">
        <w:rPr>
          <w:rFonts w:ascii="Times New Roman" w:hAnsi="Times New Roman" w:cs="Times New Roman"/>
          <w:sz w:val="24"/>
          <w:szCs w:val="24"/>
        </w:rPr>
        <w:t>ree</w:t>
      </w:r>
      <w:r w:rsidR="00AB0381" w:rsidRPr="00E30FFE">
        <w:rPr>
          <w:rFonts w:ascii="Times New Roman" w:hAnsi="Times New Roman" w:cs="Times New Roman"/>
          <w:sz w:val="24"/>
          <w:szCs w:val="24"/>
        </w:rPr>
        <w:t xml:space="preserve"> </w:t>
      </w:r>
      <w:r w:rsidR="000B497F">
        <w:rPr>
          <w:rFonts w:ascii="Times New Roman" w:hAnsi="Times New Roman" w:cs="Times New Roman"/>
          <w:sz w:val="24"/>
          <w:szCs w:val="24"/>
        </w:rPr>
        <w:t xml:space="preserve">separate </w:t>
      </w:r>
      <w:r w:rsidR="00AB0381" w:rsidRPr="00E30FFE">
        <w:rPr>
          <w:rFonts w:ascii="Times New Roman" w:hAnsi="Times New Roman" w:cs="Times New Roman"/>
          <w:sz w:val="24"/>
          <w:szCs w:val="24"/>
        </w:rPr>
        <w:t xml:space="preserve">suits collectively presented </w:t>
      </w:r>
      <w:r w:rsidR="00DF0A09" w:rsidRPr="00E30FFE">
        <w:rPr>
          <w:rFonts w:ascii="Times New Roman" w:hAnsi="Times New Roman" w:cs="Times New Roman"/>
          <w:sz w:val="24"/>
          <w:szCs w:val="24"/>
        </w:rPr>
        <w:t>two dozen allegations</w:t>
      </w:r>
      <w:r w:rsidR="00AB0381" w:rsidRPr="00E30FFE">
        <w:rPr>
          <w:rFonts w:ascii="Times New Roman" w:hAnsi="Times New Roman" w:cs="Times New Roman"/>
          <w:sz w:val="24"/>
          <w:szCs w:val="24"/>
        </w:rPr>
        <w:t xml:space="preserve">, claiming that </w:t>
      </w:r>
      <w:r w:rsidR="000B497F">
        <w:rPr>
          <w:rFonts w:ascii="Times New Roman" w:hAnsi="Times New Roman" w:cs="Times New Roman"/>
          <w:sz w:val="24"/>
          <w:szCs w:val="24"/>
        </w:rPr>
        <w:t>the bill i</w:t>
      </w:r>
      <w:r w:rsidR="00DF0A09" w:rsidRPr="00E30FFE">
        <w:rPr>
          <w:rFonts w:ascii="Times New Roman" w:hAnsi="Times New Roman" w:cs="Times New Roman"/>
          <w:sz w:val="24"/>
          <w:szCs w:val="24"/>
        </w:rPr>
        <w:t xml:space="preserve">nfringes on </w:t>
      </w:r>
      <w:r w:rsidR="00AB0381" w:rsidRPr="00E30FFE">
        <w:rPr>
          <w:rFonts w:ascii="Times New Roman" w:hAnsi="Times New Roman" w:cs="Times New Roman"/>
          <w:sz w:val="24"/>
          <w:szCs w:val="24"/>
        </w:rPr>
        <w:t xml:space="preserve">constitutional rights and </w:t>
      </w:r>
      <w:r w:rsidR="00DF0A09" w:rsidRPr="00E30FFE">
        <w:rPr>
          <w:rFonts w:ascii="Times New Roman" w:hAnsi="Times New Roman" w:cs="Times New Roman"/>
          <w:sz w:val="24"/>
          <w:szCs w:val="24"/>
        </w:rPr>
        <w:t xml:space="preserve">is inconsistent with </w:t>
      </w:r>
      <w:r w:rsidR="00AB0381" w:rsidRPr="00E30FFE">
        <w:rPr>
          <w:rFonts w:ascii="Times New Roman" w:hAnsi="Times New Roman" w:cs="Times New Roman"/>
          <w:sz w:val="24"/>
          <w:szCs w:val="24"/>
        </w:rPr>
        <w:t xml:space="preserve">statutes and the City charter. </w:t>
      </w:r>
      <w:r w:rsidR="00D62881">
        <w:rPr>
          <w:rFonts w:ascii="Times New Roman" w:hAnsi="Times New Roman" w:cs="Times New Roman"/>
          <w:sz w:val="24"/>
          <w:szCs w:val="24"/>
        </w:rPr>
        <w:t xml:space="preserve">In all three cases, </w:t>
      </w:r>
      <w:r w:rsidR="00AB0381" w:rsidRPr="00E30FFE">
        <w:rPr>
          <w:rFonts w:ascii="Times New Roman" w:hAnsi="Times New Roman" w:cs="Times New Roman"/>
          <w:sz w:val="24"/>
          <w:szCs w:val="24"/>
        </w:rPr>
        <w:t xml:space="preserve">a federal </w:t>
      </w:r>
      <w:proofErr w:type="gramStart"/>
      <w:r w:rsidR="00AB0381" w:rsidRPr="00E30FFE">
        <w:rPr>
          <w:rFonts w:ascii="Times New Roman" w:hAnsi="Times New Roman" w:cs="Times New Roman"/>
          <w:sz w:val="24"/>
          <w:szCs w:val="24"/>
        </w:rPr>
        <w:t>judge</w:t>
      </w:r>
      <w:proofErr w:type="gramEnd"/>
      <w:r w:rsidR="00AB0381" w:rsidRPr="00E30FFE">
        <w:rPr>
          <w:rFonts w:ascii="Times New Roman" w:hAnsi="Times New Roman" w:cs="Times New Roman"/>
          <w:sz w:val="24"/>
          <w:szCs w:val="24"/>
        </w:rPr>
        <w:t xml:space="preserve"> and a state </w:t>
      </w:r>
      <w:proofErr w:type="gramStart"/>
      <w:r w:rsidR="00AB0381" w:rsidRPr="00E30FFE">
        <w:rPr>
          <w:rFonts w:ascii="Times New Roman" w:hAnsi="Times New Roman" w:cs="Times New Roman"/>
          <w:sz w:val="24"/>
          <w:szCs w:val="24"/>
        </w:rPr>
        <w:t>judge,</w:t>
      </w:r>
      <w:proofErr w:type="gramEnd"/>
      <w:r w:rsidR="00AB0381" w:rsidRPr="00E30FFE">
        <w:rPr>
          <w:rFonts w:ascii="Times New Roman" w:hAnsi="Times New Roman" w:cs="Times New Roman"/>
          <w:sz w:val="24"/>
          <w:szCs w:val="24"/>
        </w:rPr>
        <w:t xml:space="preserve"> ha</w:t>
      </w:r>
      <w:r w:rsidR="00D62881">
        <w:rPr>
          <w:rFonts w:ascii="Times New Roman" w:hAnsi="Times New Roman" w:cs="Times New Roman"/>
          <w:sz w:val="24"/>
          <w:szCs w:val="24"/>
        </w:rPr>
        <w:t>ve</w:t>
      </w:r>
      <w:r w:rsidR="00AB0381" w:rsidRPr="00E30FFE">
        <w:rPr>
          <w:rFonts w:ascii="Times New Roman" w:hAnsi="Times New Roman" w:cs="Times New Roman"/>
          <w:sz w:val="24"/>
          <w:szCs w:val="24"/>
        </w:rPr>
        <w:t xml:space="preserve"> </w:t>
      </w:r>
      <w:r w:rsidR="00D62881">
        <w:rPr>
          <w:rFonts w:ascii="Times New Roman" w:hAnsi="Times New Roman" w:cs="Times New Roman"/>
          <w:sz w:val="24"/>
          <w:szCs w:val="24"/>
        </w:rPr>
        <w:t xml:space="preserve">chosen to </w:t>
      </w:r>
      <w:r w:rsidR="00AB0381" w:rsidRPr="00E30FFE">
        <w:rPr>
          <w:rFonts w:ascii="Times New Roman" w:hAnsi="Times New Roman" w:cs="Times New Roman"/>
          <w:sz w:val="24"/>
          <w:szCs w:val="24"/>
        </w:rPr>
        <w:t xml:space="preserve">sidestep these allegations. By dismissing </w:t>
      </w:r>
      <w:r w:rsidR="00D62881">
        <w:rPr>
          <w:rFonts w:ascii="Times New Roman" w:hAnsi="Times New Roman" w:cs="Times New Roman"/>
          <w:sz w:val="24"/>
          <w:szCs w:val="24"/>
        </w:rPr>
        <w:t xml:space="preserve">most </w:t>
      </w:r>
      <w:r w:rsidR="00AB0381" w:rsidRPr="00E30FFE">
        <w:rPr>
          <w:rFonts w:ascii="Times New Roman" w:hAnsi="Times New Roman" w:cs="Times New Roman"/>
          <w:sz w:val="24"/>
          <w:szCs w:val="24"/>
        </w:rPr>
        <w:t xml:space="preserve">defendants, denying standing to a diverse group of plaintiffs, and refraining from addressing the substantive issues, the courts have effectively limited the ability of Gainesville citizens, GRU stakeholders, and community leaders to contest legally dubious legislation. This judicial stance poses </w:t>
      </w:r>
      <w:r w:rsidR="00D62881">
        <w:rPr>
          <w:rFonts w:ascii="Times New Roman" w:hAnsi="Times New Roman" w:cs="Times New Roman"/>
          <w:sz w:val="24"/>
          <w:szCs w:val="24"/>
        </w:rPr>
        <w:t xml:space="preserve">an existential </w:t>
      </w:r>
      <w:r w:rsidR="00AB0381" w:rsidRPr="00E30FFE">
        <w:rPr>
          <w:rFonts w:ascii="Times New Roman" w:hAnsi="Times New Roman" w:cs="Times New Roman"/>
          <w:sz w:val="24"/>
          <w:szCs w:val="24"/>
        </w:rPr>
        <w:t xml:space="preserve">threat to </w:t>
      </w:r>
      <w:r w:rsidR="008607AF">
        <w:rPr>
          <w:rFonts w:ascii="Times New Roman" w:hAnsi="Times New Roman" w:cs="Times New Roman"/>
          <w:sz w:val="24"/>
          <w:szCs w:val="24"/>
        </w:rPr>
        <w:t xml:space="preserve">our federal and state </w:t>
      </w:r>
      <w:r w:rsidR="00D62881">
        <w:rPr>
          <w:rFonts w:ascii="Times New Roman" w:hAnsi="Times New Roman" w:cs="Times New Roman"/>
          <w:sz w:val="24"/>
          <w:szCs w:val="24"/>
        </w:rPr>
        <w:t>c</w:t>
      </w:r>
      <w:r w:rsidR="00AB0381" w:rsidRPr="00E30FFE">
        <w:rPr>
          <w:rFonts w:ascii="Times New Roman" w:hAnsi="Times New Roman" w:cs="Times New Roman"/>
          <w:sz w:val="24"/>
          <w:szCs w:val="24"/>
        </w:rPr>
        <w:t>onstitutional rights and the rule of law.</w:t>
      </w:r>
      <w:r w:rsidR="00D62881">
        <w:rPr>
          <w:rFonts w:ascii="Times New Roman" w:hAnsi="Times New Roman" w:cs="Times New Roman"/>
          <w:sz w:val="24"/>
          <w:szCs w:val="24"/>
        </w:rPr>
        <w:br/>
      </w:r>
      <w:r w:rsidR="00D62881">
        <w:rPr>
          <w:rFonts w:ascii="Times New Roman" w:hAnsi="Times New Roman" w:cs="Times New Roman"/>
          <w:sz w:val="24"/>
          <w:szCs w:val="24"/>
        </w:rPr>
        <w:br/>
      </w:r>
      <w:r w:rsidR="00D62881" w:rsidRPr="00D62881">
        <w:rPr>
          <w:rFonts w:ascii="Times New Roman" w:hAnsi="Times New Roman" w:cs="Times New Roman"/>
          <w:b/>
          <w:bCs/>
          <w:sz w:val="24"/>
          <w:szCs w:val="24"/>
        </w:rPr>
        <w:t>Utility Authority appointments challenged:</w:t>
      </w:r>
      <w:r w:rsidR="00D62881">
        <w:rPr>
          <w:rFonts w:ascii="Times New Roman" w:hAnsi="Times New Roman" w:cs="Times New Roman"/>
          <w:sz w:val="24"/>
          <w:szCs w:val="24"/>
        </w:rPr>
        <w:t xml:space="preserve">  The </w:t>
      </w:r>
      <w:r w:rsidR="008607AF">
        <w:rPr>
          <w:rFonts w:ascii="Times New Roman" w:hAnsi="Times New Roman" w:cs="Times New Roman"/>
          <w:sz w:val="24"/>
          <w:szCs w:val="24"/>
        </w:rPr>
        <w:t xml:space="preserve">Governor appointed four </w:t>
      </w:r>
      <w:r w:rsidR="00D62881">
        <w:rPr>
          <w:rFonts w:ascii="Times New Roman" w:hAnsi="Times New Roman" w:cs="Times New Roman"/>
          <w:sz w:val="24"/>
          <w:szCs w:val="24"/>
        </w:rPr>
        <w:t xml:space="preserve">Utility Authority board </w:t>
      </w:r>
      <w:proofErr w:type="gramStart"/>
      <w:r w:rsidR="008607AF">
        <w:rPr>
          <w:rFonts w:ascii="Times New Roman" w:hAnsi="Times New Roman" w:cs="Times New Roman"/>
          <w:sz w:val="24"/>
          <w:szCs w:val="24"/>
        </w:rPr>
        <w:t>members</w:t>
      </w:r>
      <w:r w:rsidR="00D62881">
        <w:rPr>
          <w:rFonts w:ascii="Times New Roman" w:hAnsi="Times New Roman" w:cs="Times New Roman"/>
          <w:sz w:val="24"/>
          <w:szCs w:val="24"/>
        </w:rPr>
        <w:t xml:space="preserve">, </w:t>
      </w:r>
      <w:r w:rsidR="008607AF">
        <w:rPr>
          <w:rFonts w:ascii="Times New Roman" w:hAnsi="Times New Roman" w:cs="Times New Roman"/>
          <w:sz w:val="24"/>
          <w:szCs w:val="24"/>
        </w:rPr>
        <w:t>and</w:t>
      </w:r>
      <w:proofErr w:type="gramEnd"/>
      <w:r w:rsidR="008607AF">
        <w:rPr>
          <w:rFonts w:ascii="Times New Roman" w:hAnsi="Times New Roman" w:cs="Times New Roman"/>
          <w:sz w:val="24"/>
          <w:szCs w:val="24"/>
        </w:rPr>
        <w:t xml:space="preserve"> may appoint a </w:t>
      </w:r>
      <w:r w:rsidR="00D62881">
        <w:rPr>
          <w:rFonts w:ascii="Times New Roman" w:hAnsi="Times New Roman" w:cs="Times New Roman"/>
          <w:sz w:val="24"/>
          <w:szCs w:val="24"/>
        </w:rPr>
        <w:t xml:space="preserve">fifth member in the upcoming months. There are two pending cases challenging the legality of these appointments; a hearing on the first case regarding lack of proper notice and members not </w:t>
      </w:r>
      <w:r w:rsidR="000B497F">
        <w:rPr>
          <w:rFonts w:ascii="Times New Roman" w:hAnsi="Times New Roman" w:cs="Times New Roman"/>
          <w:sz w:val="24"/>
          <w:szCs w:val="24"/>
        </w:rPr>
        <w:t xml:space="preserve">complying with </w:t>
      </w:r>
      <w:r w:rsidR="00D62881">
        <w:rPr>
          <w:rFonts w:ascii="Times New Roman" w:hAnsi="Times New Roman" w:cs="Times New Roman"/>
          <w:sz w:val="24"/>
          <w:szCs w:val="24"/>
        </w:rPr>
        <w:t xml:space="preserve">residency requirements will be heard in late February. The second case is still in the process of initial motions, and likely won't be heard until after the end of the legislative session in early March. </w:t>
      </w:r>
      <w:r>
        <w:rPr>
          <w:rFonts w:ascii="Times New Roman" w:hAnsi="Times New Roman" w:cs="Times New Roman"/>
          <w:sz w:val="24"/>
          <w:szCs w:val="24"/>
        </w:rPr>
        <w:br/>
      </w:r>
      <w:r>
        <w:rPr>
          <w:rFonts w:ascii="Times New Roman" w:hAnsi="Times New Roman" w:cs="Times New Roman"/>
          <w:sz w:val="24"/>
          <w:szCs w:val="24"/>
        </w:rPr>
        <w:br/>
      </w:r>
      <w:r w:rsidR="00AB0381" w:rsidRPr="00E30FFE">
        <w:rPr>
          <w:rFonts w:ascii="Times New Roman" w:hAnsi="Times New Roman" w:cs="Times New Roman"/>
          <w:b/>
          <w:bCs/>
          <w:sz w:val="24"/>
          <w:szCs w:val="24"/>
        </w:rPr>
        <w:t>Utility Authority's Narrow Focus:</w:t>
      </w:r>
      <w:r w:rsidR="00AB0381" w:rsidRPr="00E30FFE">
        <w:rPr>
          <w:rFonts w:ascii="Times New Roman" w:hAnsi="Times New Roman" w:cs="Times New Roman"/>
          <w:sz w:val="24"/>
          <w:szCs w:val="24"/>
        </w:rPr>
        <w:t xml:space="preserve"> </w:t>
      </w:r>
      <w:r w:rsidR="000B497F">
        <w:rPr>
          <w:rFonts w:ascii="Times New Roman" w:hAnsi="Times New Roman" w:cs="Times New Roman"/>
          <w:sz w:val="24"/>
          <w:szCs w:val="24"/>
        </w:rPr>
        <w:t xml:space="preserve"> T</w:t>
      </w:r>
      <w:r w:rsidR="00AB0381" w:rsidRPr="00E30FFE">
        <w:rPr>
          <w:rFonts w:ascii="Times New Roman" w:hAnsi="Times New Roman" w:cs="Times New Roman"/>
          <w:sz w:val="24"/>
          <w:szCs w:val="24"/>
        </w:rPr>
        <w:t xml:space="preserve">he </w:t>
      </w:r>
      <w:r w:rsidR="0070530D">
        <w:rPr>
          <w:rFonts w:ascii="Times New Roman" w:hAnsi="Times New Roman" w:cs="Times New Roman"/>
          <w:sz w:val="24"/>
          <w:szCs w:val="24"/>
        </w:rPr>
        <w:t xml:space="preserve">new </w:t>
      </w:r>
      <w:r w:rsidR="00AB0381" w:rsidRPr="00E30FFE">
        <w:rPr>
          <w:rFonts w:ascii="Times New Roman" w:hAnsi="Times New Roman" w:cs="Times New Roman"/>
          <w:sz w:val="24"/>
          <w:szCs w:val="24"/>
        </w:rPr>
        <w:t xml:space="preserve">Utility Authority's </w:t>
      </w:r>
      <w:r w:rsidR="000B497F">
        <w:rPr>
          <w:rFonts w:ascii="Times New Roman" w:hAnsi="Times New Roman" w:cs="Times New Roman"/>
          <w:sz w:val="24"/>
          <w:szCs w:val="24"/>
        </w:rPr>
        <w:t xml:space="preserve">activities have focused </w:t>
      </w:r>
      <w:r w:rsidR="00AB0381" w:rsidRPr="00E30FFE">
        <w:rPr>
          <w:rFonts w:ascii="Times New Roman" w:hAnsi="Times New Roman" w:cs="Times New Roman"/>
          <w:sz w:val="24"/>
          <w:szCs w:val="24"/>
        </w:rPr>
        <w:t xml:space="preserve">on the financial aspects of GRU's </w:t>
      </w:r>
      <w:r w:rsidR="000B497F">
        <w:rPr>
          <w:rFonts w:ascii="Times New Roman" w:hAnsi="Times New Roman" w:cs="Times New Roman"/>
          <w:sz w:val="24"/>
          <w:szCs w:val="24"/>
        </w:rPr>
        <w:t xml:space="preserve">electric </w:t>
      </w:r>
      <w:r w:rsidR="00AB0381" w:rsidRPr="00E30FFE">
        <w:rPr>
          <w:rFonts w:ascii="Times New Roman" w:hAnsi="Times New Roman" w:cs="Times New Roman"/>
          <w:sz w:val="24"/>
          <w:szCs w:val="24"/>
        </w:rPr>
        <w:t xml:space="preserve">operations. This narrow directive has led </w:t>
      </w:r>
      <w:r w:rsidR="000B497F">
        <w:rPr>
          <w:rFonts w:ascii="Times New Roman" w:hAnsi="Times New Roman" w:cs="Times New Roman"/>
          <w:sz w:val="24"/>
          <w:szCs w:val="24"/>
        </w:rPr>
        <w:t xml:space="preserve">the </w:t>
      </w:r>
      <w:r w:rsidR="00AB0381" w:rsidRPr="00E30FFE">
        <w:rPr>
          <w:rFonts w:ascii="Times New Roman" w:hAnsi="Times New Roman" w:cs="Times New Roman"/>
          <w:sz w:val="24"/>
          <w:szCs w:val="24"/>
        </w:rPr>
        <w:t xml:space="preserve">Authority </w:t>
      </w:r>
      <w:r w:rsidR="000B497F">
        <w:rPr>
          <w:rFonts w:ascii="Times New Roman" w:hAnsi="Times New Roman" w:cs="Times New Roman"/>
          <w:sz w:val="24"/>
          <w:szCs w:val="24"/>
        </w:rPr>
        <w:t xml:space="preserve">to sever </w:t>
      </w:r>
      <w:proofErr w:type="gramStart"/>
      <w:r w:rsidR="000B497F">
        <w:rPr>
          <w:rFonts w:ascii="Times New Roman" w:hAnsi="Times New Roman" w:cs="Times New Roman"/>
          <w:sz w:val="24"/>
          <w:szCs w:val="24"/>
        </w:rPr>
        <w:t xml:space="preserve">most </w:t>
      </w:r>
      <w:r w:rsidR="00AB0381" w:rsidRPr="00E30FFE">
        <w:rPr>
          <w:rFonts w:ascii="Times New Roman" w:hAnsi="Times New Roman" w:cs="Times New Roman"/>
          <w:sz w:val="24"/>
          <w:szCs w:val="24"/>
        </w:rPr>
        <w:t>ties</w:t>
      </w:r>
      <w:proofErr w:type="gramEnd"/>
      <w:r w:rsidR="00AB0381" w:rsidRPr="00E30FFE">
        <w:rPr>
          <w:rFonts w:ascii="Times New Roman" w:hAnsi="Times New Roman" w:cs="Times New Roman"/>
          <w:sz w:val="24"/>
          <w:szCs w:val="24"/>
        </w:rPr>
        <w:t xml:space="preserve"> with the City of Gainesville and its various officials, including the City Attorney, Auditor, Clerk, and departments providing services to GRU. This detachment from city governance raises concerns about the broader impacts on community relations</w:t>
      </w:r>
      <w:r w:rsidR="0070530D">
        <w:rPr>
          <w:rFonts w:ascii="Times New Roman" w:hAnsi="Times New Roman" w:cs="Times New Roman"/>
          <w:sz w:val="24"/>
          <w:szCs w:val="24"/>
        </w:rPr>
        <w:t xml:space="preserve">, </w:t>
      </w:r>
      <w:r w:rsidR="00AB0381" w:rsidRPr="00E30FFE">
        <w:rPr>
          <w:rFonts w:ascii="Times New Roman" w:hAnsi="Times New Roman" w:cs="Times New Roman"/>
          <w:sz w:val="24"/>
          <w:szCs w:val="24"/>
        </w:rPr>
        <w:t>local governance</w:t>
      </w:r>
      <w:r w:rsidR="0070530D">
        <w:rPr>
          <w:rFonts w:ascii="Times New Roman" w:hAnsi="Times New Roman" w:cs="Times New Roman"/>
          <w:sz w:val="24"/>
          <w:szCs w:val="24"/>
        </w:rPr>
        <w:t>, and accountability</w:t>
      </w:r>
      <w:r w:rsidR="00AB0381" w:rsidRPr="00E30FFE">
        <w:rPr>
          <w:rFonts w:ascii="Times New Roman" w:hAnsi="Times New Roman" w:cs="Times New Roman"/>
          <w:sz w:val="24"/>
          <w:szCs w:val="24"/>
        </w:rPr>
        <w:t>.</w:t>
      </w:r>
    </w:p>
    <w:p w14:paraId="36DCED08" w14:textId="77777777" w:rsidR="00C83030" w:rsidRPr="00E30FFE" w:rsidRDefault="00C83030" w:rsidP="00AB0381">
      <w:pPr>
        <w:rPr>
          <w:rFonts w:ascii="Times New Roman" w:hAnsi="Times New Roman" w:cs="Times New Roman"/>
          <w:sz w:val="24"/>
          <w:szCs w:val="24"/>
        </w:rPr>
      </w:pPr>
    </w:p>
    <w:p w14:paraId="7C92F1F7" w14:textId="2371A7B9" w:rsidR="00AB0381" w:rsidRPr="00E30FFE" w:rsidRDefault="00AB0381" w:rsidP="00AB0381">
      <w:pPr>
        <w:rPr>
          <w:rFonts w:ascii="Times New Roman" w:hAnsi="Times New Roman" w:cs="Times New Roman"/>
          <w:sz w:val="24"/>
          <w:szCs w:val="24"/>
        </w:rPr>
      </w:pPr>
      <w:r w:rsidRPr="00E30FFE">
        <w:rPr>
          <w:rFonts w:ascii="Times New Roman" w:hAnsi="Times New Roman" w:cs="Times New Roman"/>
          <w:b/>
          <w:bCs/>
          <w:sz w:val="24"/>
          <w:szCs w:val="24"/>
        </w:rPr>
        <w:lastRenderedPageBreak/>
        <w:t>Operational Changes and Accountability Concerns</w:t>
      </w:r>
      <w:r w:rsidRPr="00E30FFE">
        <w:rPr>
          <w:rFonts w:ascii="Times New Roman" w:hAnsi="Times New Roman" w:cs="Times New Roman"/>
          <w:sz w:val="24"/>
          <w:szCs w:val="24"/>
        </w:rPr>
        <w:t xml:space="preserve">: While the Utility Authority is concentrating on reducing electric rates and the utility's debt — undeniably crucial objectives — this shift marks a significant departure from GRU's historical operations. </w:t>
      </w:r>
      <w:r w:rsidR="008607AF">
        <w:rPr>
          <w:rFonts w:ascii="Times New Roman" w:hAnsi="Times New Roman" w:cs="Times New Roman"/>
          <w:sz w:val="24"/>
          <w:szCs w:val="24"/>
        </w:rPr>
        <w:t>A</w:t>
      </w:r>
      <w:r w:rsidRPr="00E30FFE">
        <w:rPr>
          <w:rFonts w:ascii="Times New Roman" w:hAnsi="Times New Roman" w:cs="Times New Roman"/>
          <w:sz w:val="24"/>
          <w:szCs w:val="24"/>
        </w:rPr>
        <w:t xml:space="preserve"> lack of accountability to the citizenry, coupled with perceived legal immunity</w:t>
      </w:r>
      <w:r w:rsidR="0070530D">
        <w:rPr>
          <w:rFonts w:ascii="Times New Roman" w:hAnsi="Times New Roman" w:cs="Times New Roman"/>
          <w:sz w:val="24"/>
          <w:szCs w:val="24"/>
        </w:rPr>
        <w:t xml:space="preserve"> </w:t>
      </w:r>
      <w:r w:rsidRPr="00E30FFE">
        <w:rPr>
          <w:rFonts w:ascii="Times New Roman" w:hAnsi="Times New Roman" w:cs="Times New Roman"/>
          <w:sz w:val="24"/>
          <w:szCs w:val="24"/>
        </w:rPr>
        <w:t>is causing internal turmoil. Utility staff, crucial in guiding inexperienced Authority members on utility and public governance matters, are now facing an uncertain environment.</w:t>
      </w:r>
    </w:p>
    <w:p w14:paraId="03E8E943" w14:textId="7CFC811A" w:rsidR="00AB0381" w:rsidRPr="00E30FFE" w:rsidRDefault="00AB0381" w:rsidP="00AB0381">
      <w:pPr>
        <w:rPr>
          <w:rFonts w:ascii="Times New Roman" w:hAnsi="Times New Roman" w:cs="Times New Roman"/>
          <w:sz w:val="24"/>
          <w:szCs w:val="24"/>
        </w:rPr>
      </w:pPr>
      <w:r w:rsidRPr="00E30FFE">
        <w:rPr>
          <w:rFonts w:ascii="Times New Roman" w:hAnsi="Times New Roman" w:cs="Times New Roman"/>
          <w:b/>
          <w:bCs/>
          <w:sz w:val="24"/>
          <w:szCs w:val="24"/>
        </w:rPr>
        <w:t>Resistance to Reform Proposals</w:t>
      </w:r>
      <w:r w:rsidRPr="00E30FFE">
        <w:rPr>
          <w:rFonts w:ascii="Times New Roman" w:hAnsi="Times New Roman" w:cs="Times New Roman"/>
          <w:sz w:val="24"/>
          <w:szCs w:val="24"/>
        </w:rPr>
        <w:t xml:space="preserve">: There have been calls for the Utility Authority to propose amendments to HB 1645 </w:t>
      </w:r>
      <w:r w:rsidR="0070530D">
        <w:rPr>
          <w:rFonts w:ascii="Times New Roman" w:hAnsi="Times New Roman" w:cs="Times New Roman"/>
          <w:sz w:val="24"/>
          <w:szCs w:val="24"/>
        </w:rPr>
        <w:t xml:space="preserve">to </w:t>
      </w:r>
      <w:r w:rsidRPr="00E30FFE">
        <w:rPr>
          <w:rFonts w:ascii="Times New Roman" w:hAnsi="Times New Roman" w:cs="Times New Roman"/>
          <w:sz w:val="24"/>
          <w:szCs w:val="24"/>
        </w:rPr>
        <w:t>align</w:t>
      </w:r>
      <w:r w:rsidR="0070530D">
        <w:rPr>
          <w:rFonts w:ascii="Times New Roman" w:hAnsi="Times New Roman" w:cs="Times New Roman"/>
          <w:sz w:val="24"/>
          <w:szCs w:val="24"/>
        </w:rPr>
        <w:t xml:space="preserve"> </w:t>
      </w:r>
      <w:r w:rsidRPr="00E30FFE">
        <w:rPr>
          <w:rFonts w:ascii="Times New Roman" w:hAnsi="Times New Roman" w:cs="Times New Roman"/>
          <w:sz w:val="24"/>
          <w:szCs w:val="24"/>
        </w:rPr>
        <w:t>it with industry standards and constitutional norms. Unfortunately, the Authority has demonstrated little interest in considering these reforms, despite potential benefits in reassuring concerned lenders and stabilizing governance.</w:t>
      </w:r>
      <w:r w:rsidR="00DF0A09" w:rsidRPr="00E30FFE">
        <w:rPr>
          <w:rFonts w:ascii="Times New Roman" w:hAnsi="Times New Roman" w:cs="Times New Roman"/>
          <w:sz w:val="24"/>
          <w:szCs w:val="24"/>
        </w:rPr>
        <w:t xml:space="preserve"> Today, Gainesville Regional Utilities is the only electric utility in the nation that is not governed by a board appointed by elected bodies or with </w:t>
      </w:r>
      <w:r w:rsidR="0070530D">
        <w:rPr>
          <w:rFonts w:ascii="Times New Roman" w:hAnsi="Times New Roman" w:cs="Times New Roman"/>
          <w:sz w:val="24"/>
          <w:szCs w:val="24"/>
        </w:rPr>
        <w:t xml:space="preserve">regulatory </w:t>
      </w:r>
      <w:r w:rsidR="00DF0A09" w:rsidRPr="00E30FFE">
        <w:rPr>
          <w:rFonts w:ascii="Times New Roman" w:hAnsi="Times New Roman" w:cs="Times New Roman"/>
          <w:sz w:val="24"/>
          <w:szCs w:val="24"/>
        </w:rPr>
        <w:t xml:space="preserve">oversight from a public utility commission. </w:t>
      </w:r>
    </w:p>
    <w:p w14:paraId="31E1C0C2" w14:textId="251D48B0" w:rsidR="00AB0381" w:rsidRPr="00E30FFE" w:rsidRDefault="00AB0381" w:rsidP="00AB0381">
      <w:pPr>
        <w:rPr>
          <w:rFonts w:ascii="Times New Roman" w:hAnsi="Times New Roman" w:cs="Times New Roman"/>
          <w:sz w:val="24"/>
          <w:szCs w:val="24"/>
        </w:rPr>
      </w:pPr>
      <w:r w:rsidRPr="00E30FFE">
        <w:rPr>
          <w:rFonts w:ascii="Times New Roman" w:hAnsi="Times New Roman" w:cs="Times New Roman"/>
          <w:b/>
          <w:bCs/>
          <w:sz w:val="24"/>
          <w:szCs w:val="24"/>
        </w:rPr>
        <w:t>Legislative Amendments and Time Sensitivity</w:t>
      </w:r>
      <w:r w:rsidRPr="00E30FFE">
        <w:rPr>
          <w:rFonts w:ascii="Times New Roman" w:hAnsi="Times New Roman" w:cs="Times New Roman"/>
          <w:sz w:val="24"/>
          <w:szCs w:val="24"/>
        </w:rPr>
        <w:t xml:space="preserve">: </w:t>
      </w:r>
      <w:r w:rsidR="00E659D3">
        <w:rPr>
          <w:rFonts w:ascii="Times New Roman" w:hAnsi="Times New Roman" w:cs="Times New Roman"/>
          <w:sz w:val="24"/>
          <w:szCs w:val="24"/>
        </w:rPr>
        <w:t xml:space="preserve"> State </w:t>
      </w:r>
      <w:r w:rsidRPr="00E30FFE">
        <w:rPr>
          <w:rFonts w:ascii="Times New Roman" w:hAnsi="Times New Roman" w:cs="Times New Roman"/>
          <w:sz w:val="24"/>
          <w:szCs w:val="24"/>
        </w:rPr>
        <w:t xml:space="preserve">Representative Yvonne Hinson </w:t>
      </w:r>
      <w:r w:rsidR="00DF0A09" w:rsidRPr="00E30FFE">
        <w:rPr>
          <w:rFonts w:ascii="Times New Roman" w:hAnsi="Times New Roman" w:cs="Times New Roman"/>
          <w:sz w:val="24"/>
          <w:szCs w:val="24"/>
        </w:rPr>
        <w:t>will</w:t>
      </w:r>
      <w:r w:rsidRPr="00E30FFE">
        <w:rPr>
          <w:rFonts w:ascii="Times New Roman" w:hAnsi="Times New Roman" w:cs="Times New Roman"/>
          <w:sz w:val="24"/>
          <w:szCs w:val="24"/>
        </w:rPr>
        <w:t xml:space="preserve"> </w:t>
      </w:r>
      <w:r w:rsidR="0070530D">
        <w:rPr>
          <w:rFonts w:ascii="Times New Roman" w:hAnsi="Times New Roman" w:cs="Times New Roman"/>
          <w:sz w:val="24"/>
          <w:szCs w:val="24"/>
        </w:rPr>
        <w:t xml:space="preserve">be </w:t>
      </w:r>
      <w:r w:rsidR="00E659D3">
        <w:rPr>
          <w:rFonts w:ascii="Times New Roman" w:hAnsi="Times New Roman" w:cs="Times New Roman"/>
          <w:sz w:val="24"/>
          <w:szCs w:val="24"/>
        </w:rPr>
        <w:t xml:space="preserve">introducing a </w:t>
      </w:r>
      <w:r w:rsidRPr="00E30FFE">
        <w:rPr>
          <w:rFonts w:ascii="Times New Roman" w:hAnsi="Times New Roman" w:cs="Times New Roman"/>
          <w:sz w:val="24"/>
          <w:szCs w:val="24"/>
        </w:rPr>
        <w:t xml:space="preserve">bill </w:t>
      </w:r>
      <w:r w:rsidR="0070530D">
        <w:rPr>
          <w:rFonts w:ascii="Times New Roman" w:hAnsi="Times New Roman" w:cs="Times New Roman"/>
          <w:sz w:val="24"/>
          <w:szCs w:val="24"/>
        </w:rPr>
        <w:t xml:space="preserve">to amend </w:t>
      </w:r>
      <w:r w:rsidRPr="00E30FFE">
        <w:rPr>
          <w:rFonts w:ascii="Times New Roman" w:hAnsi="Times New Roman" w:cs="Times New Roman"/>
          <w:sz w:val="24"/>
          <w:szCs w:val="24"/>
        </w:rPr>
        <w:t>HB 1645</w:t>
      </w:r>
      <w:r w:rsidR="00DF0A09" w:rsidRPr="00E30FFE">
        <w:rPr>
          <w:rFonts w:ascii="Times New Roman" w:hAnsi="Times New Roman" w:cs="Times New Roman"/>
          <w:sz w:val="24"/>
          <w:szCs w:val="24"/>
        </w:rPr>
        <w:t xml:space="preserve"> in </w:t>
      </w:r>
      <w:proofErr w:type="gramStart"/>
      <w:r w:rsidR="00E659D3">
        <w:rPr>
          <w:rFonts w:ascii="Times New Roman" w:hAnsi="Times New Roman" w:cs="Times New Roman"/>
          <w:sz w:val="24"/>
          <w:szCs w:val="24"/>
        </w:rPr>
        <w:t>coming</w:t>
      </w:r>
      <w:proofErr w:type="gramEnd"/>
      <w:r w:rsidR="00E659D3">
        <w:rPr>
          <w:rFonts w:ascii="Times New Roman" w:hAnsi="Times New Roman" w:cs="Times New Roman"/>
          <w:sz w:val="24"/>
          <w:szCs w:val="24"/>
        </w:rPr>
        <w:t xml:space="preserve"> weeks</w:t>
      </w:r>
      <w:r w:rsidRPr="00E30FFE">
        <w:rPr>
          <w:rFonts w:ascii="Times New Roman" w:hAnsi="Times New Roman" w:cs="Times New Roman"/>
          <w:sz w:val="24"/>
          <w:szCs w:val="24"/>
        </w:rPr>
        <w:t xml:space="preserve">. These amendments, if passed, address many issues spawned by the original bill and </w:t>
      </w:r>
      <w:r w:rsidR="00DF0A09" w:rsidRPr="00E30FFE">
        <w:rPr>
          <w:rFonts w:ascii="Times New Roman" w:hAnsi="Times New Roman" w:cs="Times New Roman"/>
          <w:sz w:val="24"/>
          <w:szCs w:val="24"/>
        </w:rPr>
        <w:t xml:space="preserve">would </w:t>
      </w:r>
      <w:r w:rsidRPr="00E30FFE">
        <w:rPr>
          <w:rFonts w:ascii="Times New Roman" w:hAnsi="Times New Roman" w:cs="Times New Roman"/>
          <w:sz w:val="24"/>
          <w:szCs w:val="24"/>
        </w:rPr>
        <w:t xml:space="preserve">lead to the withdrawal of ongoing litigation by Gainesville Residents United, Inc. The </w:t>
      </w:r>
      <w:r w:rsidR="00E659D3">
        <w:rPr>
          <w:rFonts w:ascii="Times New Roman" w:hAnsi="Times New Roman" w:cs="Times New Roman"/>
          <w:sz w:val="24"/>
          <w:szCs w:val="24"/>
        </w:rPr>
        <w:t>time to act is short, a</w:t>
      </w:r>
      <w:r w:rsidRPr="00E30FFE">
        <w:rPr>
          <w:rFonts w:ascii="Times New Roman" w:hAnsi="Times New Roman" w:cs="Times New Roman"/>
          <w:sz w:val="24"/>
          <w:szCs w:val="24"/>
        </w:rPr>
        <w:t>s GRU's bond validation process is imminent, and the legislative sessions end</w:t>
      </w:r>
      <w:r w:rsidR="00DF0A09" w:rsidRPr="00E30FFE">
        <w:rPr>
          <w:rFonts w:ascii="Times New Roman" w:hAnsi="Times New Roman" w:cs="Times New Roman"/>
          <w:sz w:val="24"/>
          <w:szCs w:val="24"/>
        </w:rPr>
        <w:t xml:space="preserve">s in </w:t>
      </w:r>
      <w:proofErr w:type="gramStart"/>
      <w:r w:rsidR="00DF0A09" w:rsidRPr="00E30FFE">
        <w:rPr>
          <w:rFonts w:ascii="Times New Roman" w:hAnsi="Times New Roman" w:cs="Times New Roman"/>
          <w:sz w:val="24"/>
          <w:szCs w:val="24"/>
        </w:rPr>
        <w:t>March,</w:t>
      </w:r>
      <w:proofErr w:type="gramEnd"/>
      <w:r w:rsidR="00DF0A09" w:rsidRPr="00E30FFE">
        <w:rPr>
          <w:rFonts w:ascii="Times New Roman" w:hAnsi="Times New Roman" w:cs="Times New Roman"/>
          <w:sz w:val="24"/>
          <w:szCs w:val="24"/>
        </w:rPr>
        <w:t xml:space="preserve"> 2024</w:t>
      </w:r>
      <w:r w:rsidRPr="00E30FFE">
        <w:rPr>
          <w:rFonts w:ascii="Times New Roman" w:hAnsi="Times New Roman" w:cs="Times New Roman"/>
          <w:sz w:val="24"/>
          <w:szCs w:val="24"/>
        </w:rPr>
        <w:t>. Failure to amend the bill could have adverse financial implications for GRU's bond validation, credit rating, and ultimately, its ratepayers.</w:t>
      </w:r>
    </w:p>
    <w:p w14:paraId="478C4EE6" w14:textId="6F7A5A6E" w:rsidR="00AB0381" w:rsidRPr="00E30FFE" w:rsidRDefault="00AB0381" w:rsidP="00AB0381">
      <w:pPr>
        <w:rPr>
          <w:rFonts w:ascii="Times New Roman" w:hAnsi="Times New Roman" w:cs="Times New Roman"/>
          <w:sz w:val="24"/>
          <w:szCs w:val="24"/>
        </w:rPr>
      </w:pPr>
      <w:r w:rsidRPr="00E30FFE">
        <w:rPr>
          <w:rFonts w:ascii="Times New Roman" w:hAnsi="Times New Roman" w:cs="Times New Roman"/>
          <w:b/>
          <w:bCs/>
          <w:sz w:val="24"/>
          <w:szCs w:val="24"/>
        </w:rPr>
        <w:t>The Bond Validation Process:</w:t>
      </w:r>
      <w:r w:rsidRPr="00E30FFE">
        <w:rPr>
          <w:rFonts w:ascii="Times New Roman" w:hAnsi="Times New Roman" w:cs="Times New Roman"/>
          <w:sz w:val="24"/>
          <w:szCs w:val="24"/>
        </w:rPr>
        <w:t xml:space="preserve"> Bond validation involves a trial in Circuit Court. The process aims to affirm the municipality</w:t>
      </w:r>
      <w:r w:rsidR="008607AF">
        <w:rPr>
          <w:rFonts w:ascii="Times New Roman" w:hAnsi="Times New Roman" w:cs="Times New Roman"/>
          <w:sz w:val="24"/>
          <w:szCs w:val="24"/>
        </w:rPr>
        <w:t>'s legal authority</w:t>
      </w:r>
      <w:r w:rsidRPr="00E30FFE">
        <w:rPr>
          <w:rFonts w:ascii="Times New Roman" w:hAnsi="Times New Roman" w:cs="Times New Roman"/>
          <w:sz w:val="24"/>
          <w:szCs w:val="24"/>
        </w:rPr>
        <w:t xml:space="preserve"> to issue bonds for a valid public purpose. This validation is crucial for maintaining investor confidence, as it directly influences the credit rating and interest rates of the bonds. The assessment by financial analysts and advisors prior to issuing bonds </w:t>
      </w:r>
      <w:r w:rsidR="008607AF">
        <w:rPr>
          <w:rFonts w:ascii="Times New Roman" w:hAnsi="Times New Roman" w:cs="Times New Roman"/>
          <w:sz w:val="24"/>
          <w:szCs w:val="24"/>
        </w:rPr>
        <w:t>considers</w:t>
      </w:r>
      <w:r w:rsidRPr="00E30FFE">
        <w:rPr>
          <w:rFonts w:ascii="Times New Roman" w:hAnsi="Times New Roman" w:cs="Times New Roman"/>
          <w:sz w:val="24"/>
          <w:szCs w:val="24"/>
        </w:rPr>
        <w:t xml:space="preserve"> the utility's revenue generation, financial stability, and creditworthiness, </w:t>
      </w:r>
      <w:r w:rsidR="008607AF">
        <w:rPr>
          <w:rFonts w:ascii="Times New Roman" w:hAnsi="Times New Roman" w:cs="Times New Roman"/>
          <w:sz w:val="24"/>
          <w:szCs w:val="24"/>
        </w:rPr>
        <w:t xml:space="preserve">all </w:t>
      </w:r>
      <w:r w:rsidRPr="00E30FFE">
        <w:rPr>
          <w:rFonts w:ascii="Times New Roman" w:hAnsi="Times New Roman" w:cs="Times New Roman"/>
          <w:sz w:val="24"/>
          <w:szCs w:val="24"/>
        </w:rPr>
        <w:t>factors integral to the utility's fiscal health and investment appeal.</w:t>
      </w:r>
      <w:r w:rsidR="00E30FFE" w:rsidRPr="00E30FFE">
        <w:rPr>
          <w:rFonts w:ascii="Times New Roman" w:hAnsi="Times New Roman" w:cs="Times New Roman"/>
          <w:sz w:val="24"/>
          <w:szCs w:val="24"/>
        </w:rPr>
        <w:t xml:space="preserve"> </w:t>
      </w:r>
      <w:r w:rsidR="00E659D3">
        <w:rPr>
          <w:rFonts w:ascii="Times New Roman" w:hAnsi="Times New Roman" w:cs="Times New Roman"/>
          <w:sz w:val="24"/>
          <w:szCs w:val="24"/>
        </w:rPr>
        <w:t>The City's bond advisors have made it clear that the current questions raised by the Utility's governance make the upcoming bond validation process risky.</w:t>
      </w:r>
      <w:r w:rsidR="0070530D">
        <w:rPr>
          <w:rFonts w:ascii="Times New Roman" w:hAnsi="Times New Roman" w:cs="Times New Roman"/>
          <w:sz w:val="24"/>
          <w:szCs w:val="24"/>
        </w:rPr>
        <w:br/>
      </w:r>
      <w:r w:rsidR="00E659D3">
        <w:rPr>
          <w:rFonts w:ascii="Times New Roman" w:hAnsi="Times New Roman" w:cs="Times New Roman"/>
          <w:sz w:val="24"/>
          <w:szCs w:val="24"/>
        </w:rPr>
        <w:t xml:space="preserve">  </w:t>
      </w:r>
    </w:p>
    <w:p w14:paraId="3F7F74E4" w14:textId="3AF9E034" w:rsidR="00565C92" w:rsidRPr="00E30FFE" w:rsidRDefault="00AB0381" w:rsidP="00AB0381">
      <w:pPr>
        <w:rPr>
          <w:rFonts w:ascii="Times New Roman" w:hAnsi="Times New Roman" w:cs="Times New Roman"/>
          <w:sz w:val="24"/>
          <w:szCs w:val="24"/>
        </w:rPr>
      </w:pPr>
      <w:r w:rsidRPr="00E30FFE">
        <w:rPr>
          <w:rFonts w:ascii="Times New Roman" w:hAnsi="Times New Roman" w:cs="Times New Roman"/>
          <w:sz w:val="24"/>
          <w:szCs w:val="24"/>
        </w:rPr>
        <w:t>In summary, House Bill 1645 has introduced significant challenges and uncertainties for GRU and its stakeholders. The legal, operational, and financial ramifications necessitate urgent attention and remedial action from all involved parties.</w:t>
      </w:r>
      <w:r w:rsidR="00E30FFE">
        <w:rPr>
          <w:rFonts w:ascii="Times New Roman" w:hAnsi="Times New Roman" w:cs="Times New Roman"/>
          <w:sz w:val="24"/>
          <w:szCs w:val="24"/>
        </w:rPr>
        <w:br/>
      </w:r>
      <w:r w:rsidR="00E30FFE">
        <w:rPr>
          <w:rFonts w:ascii="Times New Roman" w:hAnsi="Times New Roman" w:cs="Times New Roman"/>
          <w:sz w:val="24"/>
          <w:szCs w:val="24"/>
        </w:rPr>
        <w:br/>
      </w:r>
      <w:r w:rsidR="00C83030">
        <w:rPr>
          <w:rFonts w:ascii="Times New Roman" w:hAnsi="Times New Roman" w:cs="Times New Roman"/>
          <w:i/>
          <w:iCs/>
        </w:rPr>
        <w:br/>
      </w:r>
      <w:r w:rsidR="00C83030">
        <w:rPr>
          <w:rFonts w:ascii="Times New Roman" w:hAnsi="Times New Roman" w:cs="Times New Roman"/>
          <w:i/>
          <w:iCs/>
        </w:rPr>
        <w:br/>
      </w:r>
      <w:r w:rsidR="00E30FFE" w:rsidRPr="00E30FFE">
        <w:rPr>
          <w:rFonts w:ascii="Times New Roman" w:hAnsi="Times New Roman" w:cs="Times New Roman"/>
          <w:i/>
          <w:iCs/>
        </w:rPr>
        <w:t xml:space="preserve">The mission of Gainesville Residents United, Inc. is to educate, advocate, negotiate, and litigate important issues for our community.  We are a 501(c)4 non-profit organization operated by volunteers, and whose attorneys work pro bono or for reduced rates.  Financial support for Gainesville Residents United is from private </w:t>
      </w:r>
      <w:proofErr w:type="gramStart"/>
      <w:r w:rsidR="00E30FFE" w:rsidRPr="00E30FFE">
        <w:rPr>
          <w:rFonts w:ascii="Times New Roman" w:hAnsi="Times New Roman" w:cs="Times New Roman"/>
          <w:i/>
          <w:iCs/>
        </w:rPr>
        <w:t>individuals, and</w:t>
      </w:r>
      <w:proofErr w:type="gramEnd"/>
      <w:r w:rsidR="00E30FFE" w:rsidRPr="00E30FFE">
        <w:rPr>
          <w:rFonts w:ascii="Times New Roman" w:hAnsi="Times New Roman" w:cs="Times New Roman"/>
          <w:i/>
          <w:iCs/>
        </w:rPr>
        <w:t xml:space="preserve"> will be refunded on a pro-rata basis at the conclusion of litigation.  Contributions are not tax deductible.</w:t>
      </w:r>
      <w:r w:rsidR="00E30FFE">
        <w:rPr>
          <w:rFonts w:ascii="Times New Roman" w:hAnsi="Times New Roman" w:cs="Times New Roman"/>
          <w:sz w:val="24"/>
          <w:szCs w:val="24"/>
        </w:rPr>
        <w:t xml:space="preserve"> </w:t>
      </w:r>
      <w:r w:rsidR="00E30FFE">
        <w:rPr>
          <w:rFonts w:ascii="Times New Roman" w:hAnsi="Times New Roman" w:cs="Times New Roman"/>
          <w:sz w:val="24"/>
          <w:szCs w:val="24"/>
        </w:rPr>
        <w:br/>
      </w:r>
      <w:r w:rsidR="00E30FFE">
        <w:rPr>
          <w:rFonts w:ascii="Times New Roman" w:hAnsi="Times New Roman" w:cs="Times New Roman"/>
          <w:sz w:val="24"/>
          <w:szCs w:val="24"/>
        </w:rPr>
        <w:br/>
      </w:r>
      <w:r w:rsidR="00E659D3" w:rsidRPr="00E659D3">
        <w:rPr>
          <w:rFonts w:ascii="Times New Roman" w:hAnsi="Times New Roman" w:cs="Times New Roman"/>
          <w:sz w:val="24"/>
          <w:szCs w:val="24"/>
        </w:rPr>
        <w:t>www.GRUnited.org</w:t>
      </w:r>
      <w:r w:rsidR="00E659D3">
        <w:rPr>
          <w:rFonts w:ascii="Times New Roman" w:hAnsi="Times New Roman" w:cs="Times New Roman"/>
          <w:sz w:val="24"/>
          <w:szCs w:val="24"/>
        </w:rPr>
        <w:t xml:space="preserve">             2619 SE 30</w:t>
      </w:r>
      <w:r w:rsidR="00E659D3" w:rsidRPr="00E659D3">
        <w:rPr>
          <w:rFonts w:ascii="Times New Roman" w:hAnsi="Times New Roman" w:cs="Times New Roman"/>
          <w:sz w:val="24"/>
          <w:szCs w:val="24"/>
          <w:vertAlign w:val="superscript"/>
        </w:rPr>
        <w:t>th</w:t>
      </w:r>
      <w:r w:rsidR="00E659D3">
        <w:rPr>
          <w:rFonts w:ascii="Times New Roman" w:hAnsi="Times New Roman" w:cs="Times New Roman"/>
          <w:sz w:val="24"/>
          <w:szCs w:val="24"/>
        </w:rPr>
        <w:t xml:space="preserve"> Place  Gainesville, FL  32641           352-256-6043</w:t>
      </w:r>
    </w:p>
    <w:sectPr w:rsidR="00565C92" w:rsidRPr="00E30F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2ADE" w14:textId="77777777" w:rsidR="0044464B" w:rsidRDefault="0044464B" w:rsidP="00E30FFE">
      <w:pPr>
        <w:spacing w:after="0" w:line="240" w:lineRule="auto"/>
      </w:pPr>
      <w:r>
        <w:separator/>
      </w:r>
    </w:p>
  </w:endnote>
  <w:endnote w:type="continuationSeparator" w:id="0">
    <w:p w14:paraId="22F5EE94" w14:textId="77777777" w:rsidR="0044464B" w:rsidRDefault="0044464B" w:rsidP="00E3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enne">
    <w:altName w:val="Calibri"/>
    <w:panose1 w:val="04000508060000020003"/>
    <w:charset w:val="00"/>
    <w:family w:val="decorative"/>
    <w:pitch w:val="variable"/>
    <w:sig w:usb0="80000027"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76353"/>
      <w:docPartObj>
        <w:docPartGallery w:val="Page Numbers (Bottom of Page)"/>
        <w:docPartUnique/>
      </w:docPartObj>
    </w:sdtPr>
    <w:sdtEndPr>
      <w:rPr>
        <w:noProof/>
      </w:rPr>
    </w:sdtEndPr>
    <w:sdtContent>
      <w:p w14:paraId="410AB5E5" w14:textId="01D4E6FA" w:rsidR="00E30FFE" w:rsidRDefault="00E30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DA5A1" w14:textId="77777777" w:rsidR="00E30FFE" w:rsidRDefault="00E3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447E" w14:textId="77777777" w:rsidR="0044464B" w:rsidRDefault="0044464B" w:rsidP="00E30FFE">
      <w:pPr>
        <w:spacing w:after="0" w:line="240" w:lineRule="auto"/>
      </w:pPr>
      <w:r>
        <w:separator/>
      </w:r>
    </w:p>
  </w:footnote>
  <w:footnote w:type="continuationSeparator" w:id="0">
    <w:p w14:paraId="31555D06" w14:textId="77777777" w:rsidR="0044464B" w:rsidRDefault="0044464B" w:rsidP="00E30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89"/>
    <w:rsid w:val="000B497F"/>
    <w:rsid w:val="002F73F9"/>
    <w:rsid w:val="0044464B"/>
    <w:rsid w:val="00565C92"/>
    <w:rsid w:val="0062517F"/>
    <w:rsid w:val="006E7389"/>
    <w:rsid w:val="0070530D"/>
    <w:rsid w:val="008607AF"/>
    <w:rsid w:val="00AB0381"/>
    <w:rsid w:val="00C83030"/>
    <w:rsid w:val="00D525E6"/>
    <w:rsid w:val="00D62881"/>
    <w:rsid w:val="00DF0A09"/>
    <w:rsid w:val="00E237F5"/>
    <w:rsid w:val="00E30FFE"/>
    <w:rsid w:val="00E659D3"/>
    <w:rsid w:val="00F5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CCB5"/>
  <w15:chartTrackingRefBased/>
  <w15:docId w15:val="{EAC0251D-A4A2-44DA-A260-129B6D58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FE"/>
  </w:style>
  <w:style w:type="paragraph" w:styleId="Footer">
    <w:name w:val="footer"/>
    <w:basedOn w:val="Normal"/>
    <w:link w:val="FooterChar"/>
    <w:uiPriority w:val="99"/>
    <w:unhideWhenUsed/>
    <w:rsid w:val="00E3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FE"/>
  </w:style>
  <w:style w:type="character" w:styleId="Hyperlink">
    <w:name w:val="Hyperlink"/>
    <w:basedOn w:val="DefaultParagraphFont"/>
    <w:uiPriority w:val="99"/>
    <w:unhideWhenUsed/>
    <w:rsid w:val="00E659D3"/>
    <w:rPr>
      <w:color w:val="0563C1" w:themeColor="hyperlink"/>
      <w:u w:val="single"/>
    </w:rPr>
  </w:style>
  <w:style w:type="character" w:styleId="UnresolvedMention">
    <w:name w:val="Unresolved Mention"/>
    <w:basedOn w:val="DefaultParagraphFont"/>
    <w:uiPriority w:val="99"/>
    <w:semiHidden/>
    <w:unhideWhenUsed/>
    <w:rsid w:val="00E659D3"/>
    <w:rPr>
      <w:color w:val="605E5C"/>
      <w:shd w:val="clear" w:color="auto" w:fill="E1DFDD"/>
    </w:rPr>
  </w:style>
  <w:style w:type="table" w:styleId="TableGrid">
    <w:name w:val="Table Grid"/>
    <w:basedOn w:val="TableNormal"/>
    <w:uiPriority w:val="39"/>
    <w:rsid w:val="00C83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Hutchinson</dc:creator>
  <cp:keywords/>
  <dc:description/>
  <cp:lastModifiedBy>Robert Hutchinson</cp:lastModifiedBy>
  <cp:revision>3</cp:revision>
  <dcterms:created xsi:type="dcterms:W3CDTF">2024-01-17T19:39:00Z</dcterms:created>
  <dcterms:modified xsi:type="dcterms:W3CDTF">2024-01-17T19:43:00Z</dcterms:modified>
</cp:coreProperties>
</file>